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80"/>
      </w:pPr>
      <w:r>
        <w:rPr>
          <w:rFonts w:ascii="Courier New" w:cs="Courier New" w:eastAsia="Courier New" w:hAnsi="Courier New"/>
          <w:b w:val="false"/>
          <w:bCs w:val="false"/>
          <w:color w:val="8B1A1A"/>
          <w:sz w:val="16"/>
          <w:szCs w:val="16"/>
        </w:rPr>
        <w:t xml:space="preserve">RAJZYNGIER FOUNDATION · FORENSIC ARCHITECTURE RESEARCH AGENCY</w:t>
      </w:r>
    </w:p>
    <w:p>
      <w:pPr>
        <w:spacing w:before="0" w:after="320"/>
      </w:pPr>
    </w:p>
    <w:p>
      <w:pPr>
        <w:spacing w:before="0" w:after="0"/>
      </w:pPr>
      <w:r>
        <w:rPr>
          <w:rFonts w:ascii="Garamond" w:cs="Garamond" w:eastAsia="Garamond" w:hAnsi="Garamond"/>
          <w:color w:val="111009"/>
          <w:sz w:val="96"/>
          <w:szCs w:val="96"/>
        </w:rPr>
        <w:t xml:space="preserve">The Pursuit</w:t>
      </w:r>
    </w:p>
    <w:p>
      <w:pPr>
        <w:spacing w:before="0" w:after="240"/>
      </w:pPr>
      <w:r>
        <w:rPr>
          <w:rFonts w:ascii="Garamond" w:cs="Garamond" w:eastAsia="Garamond" w:hAnsi="Garamond"/>
          <w:i/>
          <w:iCs/>
          <w:color w:val="6B6358"/>
          <w:sz w:val="28"/>
          <w:szCs w:val="28"/>
        </w:rPr>
        <w:t xml:space="preserve">A forensic investigation into the tactical intelligence of high-performance flight — from the Roman chariot and cursus publicus to the Audi RS6 Avant</w:t>
      </w:r>
    </w:p>
    <w:p>
      <w:pPr>
        <w:pBdr>
          <w:bottom w:val="single" w:color="D8D0C8" w:sz="2" w:space="1"/>
        </w:pBdr>
        <w:spacing w:before="240"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RESEARCH STATUS</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PRIMARY SITE</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METHODOLOGY</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20"/>
                <w:szCs w:val="20"/>
              </w:rPr>
              <w:t xml:space="preserve">Active — Phase I</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80" w:line="320" w:lineRule="auto"/>
            </w:pPr>
            <w:r>
              <w:rPr>
                <w:rFonts w:ascii="Garamond" w:cs="Garamond" w:eastAsia="Garamond" w:hAnsi="Garamond"/>
                <w:b w:val="false"/>
                <w:bCs w:val="false"/>
                <w:i w:val="false"/>
                <w:iCs w:val="false"/>
                <w:color w:val="3A3832"/>
                <w:sz w:val="20"/>
                <w:szCs w:val="20"/>
              </w:rPr>
              <w:t xml:space="preserve">Archive, Road Network,</w:t>
            </w:r>
          </w:p>
          <w:p>
            <w:pPr>
              <w:spacing w:before="0" w:after="0" w:line="320" w:lineRule="auto"/>
            </w:pPr>
            <w:r>
              <w:rPr>
                <w:rFonts w:ascii="Garamond" w:cs="Garamond" w:eastAsia="Garamond" w:hAnsi="Garamond"/>
                <w:b w:val="false"/>
                <w:bCs w:val="false"/>
                <w:i w:val="false"/>
                <w:iCs w:val="false"/>
                <w:color w:val="3A3832"/>
                <w:sz w:val="20"/>
                <w:szCs w:val="20"/>
              </w:rPr>
              <w:t xml:space="preserve">Urban Infrastructure</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80" w:line="320" w:lineRule="auto"/>
            </w:pPr>
            <w:r>
              <w:rPr>
                <w:rFonts w:ascii="Garamond" w:cs="Garamond" w:eastAsia="Garamond" w:hAnsi="Garamond"/>
                <w:b w:val="false"/>
                <w:bCs w:val="false"/>
                <w:i w:val="false"/>
                <w:iCs w:val="false"/>
                <w:color w:val="3A3832"/>
                <w:sz w:val="20"/>
                <w:szCs w:val="20"/>
              </w:rPr>
              <w:t xml:space="preserve">Counter-Forensic /</w:t>
            </w:r>
          </w:p>
          <w:p>
            <w:pPr>
              <w:spacing w:before="0" w:after="0" w:line="320" w:lineRule="auto"/>
            </w:pPr>
            <w:r>
              <w:rPr>
                <w:rFonts w:ascii="Garamond" w:cs="Garamond" w:eastAsia="Garamond" w:hAnsi="Garamond"/>
                <w:b w:val="false"/>
                <w:bCs w:val="false"/>
                <w:i w:val="false"/>
                <w:iCs w:val="false"/>
                <w:color w:val="3A3832"/>
                <w:sz w:val="20"/>
                <w:szCs w:val="20"/>
              </w:rPr>
              <w:t xml:space="preserve">Classical Studies / Urban Analysis</w:t>
            </w:r>
          </w:p>
        </w:tc>
      </w:tr>
    </w:tbl>
    <w:p>
      <w:pPr>
        <w:spacing w:before="0" w:after="480"/>
      </w:pPr>
    </w:p>
    <w:p>
      <w:pPr>
        <w:spacing w:before="480" w:after="160"/>
      </w:pPr>
      <w:r>
        <w:rPr>
          <w:rFonts w:ascii="Garamond" w:cs="Garamond" w:eastAsia="Garamond" w:hAnsi="Garamond"/>
          <w:color w:val="111009"/>
          <w:sz w:val="52"/>
          <w:szCs w:val="52"/>
        </w:rPr>
        <w:t xml:space="preserve">1.  Overview</w:t>
      </w:r>
    </w:p>
    <w:p>
      <w:pPr>
        <w:pBdr>
          <w:bottom w:val="single" w:color="D8D0C8" w:sz="2" w:space="1"/>
        </w:pBdr>
        <w:spacing w:before="240" w:after="240"/>
      </w:pPr>
    </w:p>
    <w:p>
      <w:pPr>
        <w:spacing w:before="0" w:after="160" w:line="360" w:lineRule="auto"/>
      </w:pPr>
      <w:r>
        <w:rPr>
          <w:rFonts w:ascii="Garamond" w:cs="Garamond" w:eastAsia="Garamond" w:hAnsi="Garamond"/>
          <w:b w:val="false"/>
          <w:bCs w:val="false"/>
          <w:i w:val="false"/>
          <w:iCs w:val="false"/>
          <w:color w:val="3A3832"/>
          <w:sz w:val="24"/>
          <w:szCs w:val="24"/>
        </w:rPr>
        <w:t xml:space="preserve">This document sets out the conceptual framework, research objectives, methodology, and institutional logic of The Pursuit — the fourth research project of the Rajzyngier Foundation, a forensic architecture research agency.</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project investigates a tactical intelligence that has never been formally studied as a continuous historical practice: the selection and use of a high-performance vehicle for rapid territorial transit through populated urban space, combined with the deliberate suppression of visual recognition. From the Roman cavalry commander choosing a mount, to the imperial messenger selecting a horse from the cursus publicus relay station, to the contemporary criminal choosing an Audi RS6 Avant over a Porsche 911, the operational logic is identical.</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contemporary preference of professional criminals — particularly in Britain — for the RS6 Avant as a getaway vehicle is not a modern phenomenon. It is the latest expression of a tactical tradition that the ancient world understood, codified in law, built infrastructure to support and to counter, and that no intervening era has ever stopped needing. The RS6 is chosen because it is the cursus publicus horse of the 21st century: maximum performance inside a body that reads as ordinary.</w:t>
      </w:r>
    </w:p>
    <w:p>
      <w:pPr>
        <w:spacing w:before="0" w:after="160"/>
      </w:pPr>
    </w:p>
    <w:p>
      <w:pPr>
        <w:pBdr>
          <w:left w:val="single" w:color="8B1A1A" w:sz="18" w:space="12"/>
        </w:pBdr>
        <w:spacing w:before="320" w:after="320"/>
        <w:ind w:left="720" w:right="720"/>
      </w:pPr>
      <w:r>
        <w:rPr>
          <w:rFonts w:ascii="Garamond" w:cs="Garamond" w:eastAsia="Garamond" w:hAnsi="Garamond"/>
          <w:i/>
          <w:iCs/>
          <w:color w:val="3A3832"/>
          <w:sz w:val="28"/>
          <w:szCs w:val="28"/>
        </w:rPr>
        <w:t xml:space="preserve">The most dangerous vehicle on any road has always been the one that looks like it belongs there. The Romans knew this. The criminals know this. The classicist has not yet studied this.</w:t>
      </w:r>
    </w:p>
    <w:p>
      <w:pPr>
        <w:spacing w:before="0" w:after="160"/>
      </w:pPr>
    </w:p>
    <w:p>
      <w:pPr>
        <w:spacing w:before="480" w:after="160"/>
      </w:pPr>
      <w:r>
        <w:rPr>
          <w:rFonts w:ascii="Garamond" w:cs="Garamond" w:eastAsia="Garamond" w:hAnsi="Garamond"/>
          <w:color w:val="111009"/>
          <w:sz w:val="52"/>
          <w:szCs w:val="52"/>
        </w:rPr>
        <w:t xml:space="preserve">2.  The Research Question</w:t>
      </w:r>
    </w:p>
    <w:p>
      <w:pPr>
        <w:pBdr>
          <w:bottom w:val="single" w:color="D8D0C8" w:sz="2" w:space="1"/>
        </w:pBdr>
        <w:spacing w:before="240" w:after="240"/>
      </w:pPr>
    </w:p>
    <w:p>
      <w:pPr>
        <w:spacing w:before="200" w:after="60"/>
      </w:pPr>
      <w:r>
        <w:rPr>
          <w:rFonts w:ascii="Courier New" w:cs="Courier New" w:eastAsia="Courier New" w:hAnsi="Courier New"/>
          <w:b w:val="false"/>
          <w:bCs w:val="false"/>
          <w:color w:val="8B1A1A"/>
          <w:sz w:val="15"/>
          <w:szCs w:val="15"/>
        </w:rPr>
        <w:t xml:space="preserve">PRIMARY QUESTION</w:t>
      </w:r>
    </w:p>
    <w:p>
      <w:pPr>
        <w:pBdr>
          <w:left w:val="single" w:color="8B1A1A" w:sz="24" w:space="14"/>
        </w:pBdr>
        <w:spacing w:before="80" w:after="240"/>
        <w:ind w:left="480"/>
      </w:pPr>
      <w:r>
        <w:rPr>
          <w:rFonts w:ascii="Garamond" w:cs="Garamond" w:eastAsia="Garamond" w:hAnsi="Garamond"/>
          <w:color w:val="3A3832"/>
          <w:sz w:val="26"/>
          <w:szCs w:val="26"/>
        </w:rPr>
        <w:t xml:space="preserve">In the ancient world, the chariot and the cavalry horse were the primary vehicles of rapid territorial assertion and escape — used by armies, messengers, assassins, and fleeing tyrants. What does the contemporary criminal preference for high-performance estate vehicles — specifically the Audi RS6 Avant — reveal about the continuity of a tactical intelligence that combines load capacity, inconspicuousness, and speed, which the ancient world encoded in its fastest vehicles and that no intervening era has ever stopped needing?</w:t>
      </w:r>
    </w:p>
    <w:p>
      <w:pPr>
        <w:spacing w:before="0" w:after="160"/>
      </w:pPr>
    </w:p>
    <w:p>
      <w:pPr>
        <w:spacing w:before="200" w:after="60"/>
      </w:pPr>
      <w:r>
        <w:rPr>
          <w:rFonts w:ascii="Courier New" w:cs="Courier New" w:eastAsia="Courier New" w:hAnsi="Courier New"/>
          <w:b w:val="false"/>
          <w:bCs w:val="false"/>
          <w:color w:val="8B1A1A"/>
          <w:sz w:val="15"/>
          <w:szCs w:val="15"/>
        </w:rPr>
        <w:t xml:space="preserve">SUBSIDIARY QUESTIONS</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SQ1 — Roman Flight Law: What was the legal and social status of fuga — flight — in Roman jurisprudence, and what does the contemporary law of pursuit and vehicle interception inherit from it? The act of fleeing in a vehicle was a specific legal condition in Roman law, distinct from simple absence. What are the direct lines of inheritance?</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SQ2 — The Cursus Publicus: The imperial postal and logistics network selected vehicles on exactly the same criteria as the RS6 getaway driver — maximum speed, sufficient load, minimum conspicuousness. What does the operational logic of the cursus publicus reveal about the timeless requirements of state and anti-state mobility, and who built the roads both are using?</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SQ3 — The Substitution of Cavalry for Chariot: The chariot was retired from combat precisely because cavalry was faster and less predictable in urban and broken terrain. The RS6 is chosen over a Ferrari for exactly the same reason. What does this substitution — performance concealed inside utility — tell us about how power moves through space when it cannot afford to be seen?</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SQ4 — Xenophon's Anabasis as Tactical Manual: The Anabasis is the ancient world's most detailed account of a fighting retreat — ten thousand men moving through hostile territory, choosing routes for speed and cover simultaneously. What does Xenophon's tactical vocabulary — the rear guard, the column, the moment of dispersal — reveal about the intelligence that the contemporary getaway driver is executing without knowing it?</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SQ5 — The Built Environment as Accomplice: The RS6 succeeds because the city was built for it. Road widths, junction timings, camera placement, and police response protocols are all calibrated around the average vehicle, not the exceptional one. Who built these roads, and for what performance envelope? The answer is the same in Roman Britain and in contemporary Edmonton.</w:t>
      </w:r>
    </w:p>
    <w:p>
      <w:pPr>
        <w:spacing w:before="0" w:after="320"/>
      </w:pPr>
    </w:p>
    <w:p>
      <w:pPr>
        <w:spacing w:before="480" w:after="160"/>
      </w:pPr>
      <w:r>
        <w:rPr>
          <w:rFonts w:ascii="Garamond" w:cs="Garamond" w:eastAsia="Garamond" w:hAnsi="Garamond"/>
          <w:color w:val="111009"/>
          <w:sz w:val="52"/>
          <w:szCs w:val="52"/>
        </w:rPr>
        <w:t xml:space="preserve">3.  Intellectual Context</w:t>
      </w:r>
    </w:p>
    <w:p>
      <w:pPr>
        <w:pBdr>
          <w:bottom w:val="single" w:color="D8D0C8" w:sz="2" w:space="1"/>
        </w:pBdr>
        <w:spacing w:before="240" w:after="240"/>
      </w:pPr>
    </w:p>
    <w:p>
      <w:pPr>
        <w:pBdr>
          <w:bottom w:val="single" w:color="E0D8CC" w:sz="3" w:space="6"/>
        </w:pBdr>
        <w:spacing w:before="400" w:after="120"/>
      </w:pPr>
      <w:r>
        <w:rPr>
          <w:rFonts w:ascii="Garamond" w:cs="Garamond" w:eastAsia="Garamond" w:hAnsi="Garamond"/>
          <w:i/>
          <w:iCs/>
          <w:color w:val="111009"/>
          <w:sz w:val="34"/>
          <w:szCs w:val="34"/>
        </w:rPr>
        <w:t xml:space="preserve">3.1  The Roman Cursus Publicus — State Speed</w:t>
      </w:r>
    </w:p>
    <w:p>
      <w:pPr>
        <w:spacing w:before="0" w:after="160" w:line="360" w:lineRule="auto"/>
      </w:pPr>
      <w:r>
        <w:rPr>
          <w:rFonts w:ascii="Garamond" w:cs="Garamond" w:eastAsia="Garamond" w:hAnsi="Garamond"/>
          <w:b w:val="false"/>
          <w:bCs w:val="false"/>
          <w:i w:val="false"/>
          <w:iCs w:val="false"/>
          <w:color w:val="3A3832"/>
          <w:sz w:val="24"/>
          <w:szCs w:val="24"/>
        </w:rPr>
        <w:t xml:space="preserve">The cursus publicus was the Roman imperial postal, courier, and logistics network — the fastest communication and transport system the ancient world ever built. At its peak it could move a message from Rome to the eastern frontier in under a week. It did this through a system of relay stations, each stocked with fresh horses and light vehicles, positioned at intervals of roughly 25 Roman miles along the imperial road network.</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selection criteria for cursus publicus horses and vehicles were not primarily about prestige or comfort. They were operational: maximum sustainable speed, sufficient load capacity for documents, small valuables, and light personnel, and a form factor that did not advertise its contents or its urgency. A cursus publicus vehicle moving through a provincial town was not supposed to trigger flight or resistance. It was supposed to look like it belonged.</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RS6 Avant meets all three criteria. Its 621 horsepower twin-turbocharged V8 produces supercar performance from a vehicle that looks, to the untrained eye, like a family estate. Its Quattro all-wheel drive system provides stability on any road surface the Roman road network's modern inheritors have produced. Its cargo capacity — nearly 6.5 feet of load space with seats folded — exceeds the requirements of any criminal operation currently documented.</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operational logic has not changed in two thousand years. The road network has. The vehicle technology has. The intelligence that selects the right vehicle for the right road at the right moment is continuous.</w:t>
      </w:r>
    </w:p>
    <w:p>
      <w:pPr>
        <w:spacing w:before="0" w:after="160"/>
      </w:pPr>
    </w:p>
    <w:p>
      <w:pPr>
        <w:pBdr>
          <w:bottom w:val="single" w:color="E0D8CC" w:sz="3" w:space="6"/>
        </w:pBdr>
        <w:spacing w:before="400" w:after="120"/>
      </w:pPr>
      <w:r>
        <w:rPr>
          <w:rFonts w:ascii="Garamond" w:cs="Garamond" w:eastAsia="Garamond" w:hAnsi="Garamond"/>
          <w:i/>
          <w:iCs/>
          <w:color w:val="111009"/>
          <w:sz w:val="34"/>
          <w:szCs w:val="34"/>
        </w:rPr>
        <w:t xml:space="preserve">3.2  Fuga — The Legal Condition of Flight</w:t>
      </w:r>
    </w:p>
    <w:p>
      <w:pPr>
        <w:spacing w:before="0" w:after="160" w:line="360" w:lineRule="auto"/>
      </w:pPr>
      <w:r>
        <w:rPr>
          <w:rFonts w:ascii="Garamond" w:cs="Garamond" w:eastAsia="Garamond" w:hAnsi="Garamond"/>
          <w:b w:val="false"/>
          <w:bCs w:val="false"/>
          <w:i w:val="false"/>
          <w:iCs w:val="false"/>
          <w:color w:val="3A3832"/>
          <w:sz w:val="24"/>
          <w:szCs w:val="24"/>
        </w:rPr>
        <w:t xml:space="preserve">Roman law developed an elaborate jurisprudence around flight — fuga — that had no direct equivalent in the treatment of ordinary movement. A slave who fled was a fugitivus, in a specific legal condition with specific remedies. A soldier who retreated without orders was guilty of a military offence distinct from cowardice. A debtor who fled a creditor had committed a specific act with specific legal consequences. A general who conducted an unauthorised retreat could be executed.</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common element in all these categories is this: flight in Roman law was not the absence of presence. It was the active assertion of movement against a legitimate claim. The fugitive was not simply somewhere else. They were in transit — using the road network, using vehicles, using the infrastructure of the empire to evade the empire's authority. The road was simultaneously the state's instrument of control and the fugitive's instrument of escape.</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Contemporary pursuit law carries this logic intact. The decision to pursue a fleeing vehicle is a legal act with specific conditions and constraints. The decision to terminate a pursuit — which British police forces are increasingly required to make, given the risk of collateral casualties — is a legal act with specific documented consequences. The RS6 driver who understands this decision calculus is operating within a legal framework whose foundations were laid in Roman jurisprudence.</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project's forensic argument: the RS6 getaway is not a crime that happens on roads. It is a crime that the roads were built to make possible. And the roads were built for a different vehicle, by a different authority, for different purposes — whose measurement standards and design decisions the contemporary criminal is the most sophisticated user of.</w:t>
      </w:r>
    </w:p>
    <w:p>
      <w:pPr>
        <w:spacing w:before="0" w:after="160"/>
      </w:pPr>
    </w:p>
    <w:p>
      <w:pPr>
        <w:pBdr>
          <w:bottom w:val="single" w:color="E0D8CC" w:sz="3" w:space="6"/>
        </w:pBdr>
        <w:spacing w:before="400" w:after="120"/>
      </w:pPr>
      <w:r>
        <w:rPr>
          <w:rFonts w:ascii="Garamond" w:cs="Garamond" w:eastAsia="Garamond" w:hAnsi="Garamond"/>
          <w:i/>
          <w:iCs/>
          <w:color w:val="111009"/>
          <w:sz w:val="34"/>
          <w:szCs w:val="34"/>
        </w:rPr>
        <w:t xml:space="preserve">3.3  The Chariot, the Cavalry, and the Estate Car</w:t>
      </w:r>
    </w:p>
    <w:p>
      <w:pPr>
        <w:spacing w:before="0" w:after="160" w:line="360" w:lineRule="auto"/>
      </w:pPr>
      <w:r>
        <w:rPr>
          <w:rFonts w:ascii="Garamond" w:cs="Garamond" w:eastAsia="Garamond" w:hAnsi="Garamond"/>
          <w:b w:val="false"/>
          <w:bCs w:val="false"/>
          <w:i w:val="false"/>
          <w:iCs w:val="false"/>
          <w:color w:val="3A3832"/>
          <w:sz w:val="24"/>
          <w:szCs w:val="24"/>
        </w:rPr>
        <w:t xml:space="preserve">The war chariot was the dominant high-performance vehicle of the ancient Near East and early Mediterranean world for over a millennium. Its retirement from serious military use — complete in the Mediterranean world by the 3rd century BCE — was not a failure of the technology. It was a recognition that cavalry was superior in almost every operational context that mattered: more manoeuvrable, faster over varied terrain, capable of operating without a road surface, and considerably harder for an opponent to predict.</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substitution of cavalry for chariots is the ancient world's version of a decision that the contemporary criminal has made independently: do not use the most obviously powerful vehicle. Use the vehicle that combines performance with unpredictability. The chariot announced itself. The cavalry horse did not — until it was already moving.</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RS6 Avant is a cavalry horse. The Ferrari or Lamborghini is a chariot. The criminal community's documented preference for the former over the latter is a tactical decision that Xenophon, Caesar, and every Roman cavalry commander would have recognised immediately. What the classicist has not yet asked is why this specific tactical intelligence keeps producing the same answer across two and a half thousand years of vehicle technology.</w:t>
      </w:r>
    </w:p>
    <w:p>
      <w:pPr>
        <w:spacing w:before="0" w:after="160"/>
      </w:pPr>
    </w:p>
    <w:p>
      <w:pPr>
        <w:pBdr>
          <w:bottom w:val="single" w:color="E0D8CC" w:sz="3" w:space="6"/>
        </w:pBdr>
        <w:spacing w:before="400" w:after="120"/>
      </w:pPr>
      <w:r>
        <w:rPr>
          <w:rFonts w:ascii="Garamond" w:cs="Garamond" w:eastAsia="Garamond" w:hAnsi="Garamond"/>
          <w:i/>
          <w:iCs/>
          <w:color w:val="111009"/>
          <w:sz w:val="34"/>
          <w:szCs w:val="34"/>
        </w:rPr>
        <w:t xml:space="preserve">3.4  Xenophon's Anabasis — The Tactical Retreat</w:t>
      </w:r>
    </w:p>
    <w:p>
      <w:pPr>
        <w:spacing w:before="0" w:after="160" w:line="360" w:lineRule="auto"/>
      </w:pPr>
      <w:r>
        <w:rPr>
          <w:rFonts w:ascii="Garamond" w:cs="Garamond" w:eastAsia="Garamond" w:hAnsi="Garamond"/>
          <w:b w:val="false"/>
          <w:bCs w:val="false"/>
          <w:i w:val="false"/>
          <w:iCs w:val="false"/>
          <w:color w:val="3A3832"/>
          <w:sz w:val="24"/>
          <w:szCs w:val="24"/>
        </w:rPr>
        <w:t xml:space="preserve">The Anabasis is Xenophon's account of the retreat of ten thousand Greek mercenaries from deep inside Persian territory after their commander was killed — one of the most detailed surviving accounts of sustained tactical movement through hostile space. Its vocabulary of rear guards, column formation, route selection, and the management of the moment of dispersal is the oldest systematic military manual on the subject of getting away.</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Anabasis is relevant to this project in three specific ways. First, Xenophon's route selection criteria — speed, cover, and the avoidance of predictable paths — are identical to the criteria applied by the professional RS6 driver choosing an escape route. Second, the concept of the rear guard — a smaller, faster element that protects the main body's retreat by engaging pursuit — appears in documented RS6 getaway operations as a second vehicle whose purpose is to obstruct police pursuit. Third, Xenophon's analysis of the moment of dispersal — the point at which a unified force becomes individual actors who are harder to pursue — maps precisely onto the documented practice of switching vehicles and splitting routes after the primary escape phase.</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project does not claim that RS6 drivers have read Xenophon. It claims that the tactical problem Xenophon was solving and the tactical problem the RS6 driver is solving are the same problem — and that the solution has not materially changed because the problem has not materially changed. A classicist reading the Anabasis and a criminologist analysing RS6 getaway footage are reading the same text in different media.</w:t>
      </w:r>
    </w:p>
    <w:p>
      <w:pPr>
        <w:spacing w:before="0" w:after="160"/>
      </w:pPr>
    </w:p>
    <w:p>
      <w:pPr>
        <w:pBdr>
          <w:bottom w:val="single" w:color="E0D8CC" w:sz="3" w:space="6"/>
        </w:pBdr>
        <w:spacing w:before="400" w:after="120"/>
      </w:pPr>
      <w:r>
        <w:rPr>
          <w:rFonts w:ascii="Garamond" w:cs="Garamond" w:eastAsia="Garamond" w:hAnsi="Garamond"/>
          <w:i/>
          <w:iCs/>
          <w:color w:val="111009"/>
          <w:sz w:val="34"/>
          <w:szCs w:val="34"/>
        </w:rPr>
        <w:t xml:space="preserve">3.5  The Road as Accomplice</w:t>
      </w:r>
    </w:p>
    <w:p>
      <w:pPr>
        <w:spacing w:before="0" w:after="160" w:line="360" w:lineRule="auto"/>
      </w:pPr>
      <w:r>
        <w:rPr>
          <w:rFonts w:ascii="Garamond" w:cs="Garamond" w:eastAsia="Garamond" w:hAnsi="Garamond"/>
          <w:b w:val="false"/>
          <w:bCs w:val="false"/>
          <w:i w:val="false"/>
          <w:iCs w:val="false"/>
          <w:color w:val="3A3832"/>
          <w:sz w:val="24"/>
          <w:szCs w:val="24"/>
        </w:rPr>
        <w:t xml:space="preserve">The Roman road network was built to move legions, not civilians. Its design specifications — width, surface, gradient, junction geometry — were calibrated for military formations moving at military speeds. The civilian traffic that used the same roads was an afterthought, accommodated by infrastructure that was optimised for a different purpose.</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contemporary road network in British cities — where RS6 getaway operations are most extensively documented — was built to move private motor vehicles rated in horsepower, at speeds determined by combustion engine performance envelopes, along routes designed around the turning radius and acceleration profile of mid-20th-century automobiles. The RS6 Avant, with its 621 horsepower and all-wheel drive stability system, operates at a level of performance that the road was not designed to accommodate. This is not a disadvantage. It is the tactical advantage.</w:t>
      </w:r>
    </w:p>
    <w:p>
      <w:pPr>
        <w:spacing w:before="0" w:after="160"/>
      </w:pPr>
    </w:p>
    <w:p>
      <w:pPr>
        <w:spacing w:before="0" w:after="160" w:line="360" w:lineRule="auto"/>
      </w:pPr>
      <w:r>
        <w:rPr>
          <w:rFonts w:ascii="Garamond" w:cs="Garamond" w:eastAsia="Garamond" w:hAnsi="Garamond"/>
          <w:b w:val="false"/>
          <w:bCs w:val="false"/>
          <w:i w:val="false"/>
          <w:iCs w:val="false"/>
          <w:color w:val="3A3832"/>
          <w:sz w:val="24"/>
          <w:szCs w:val="24"/>
        </w:rPr>
        <w:t xml:space="preserve">The forensic architecture argument: the RS6 succeeds as a getaway vehicle because the built environment was designed for a different vehicle. Camera placement is optimised for average vehicle speeds. Police response times are calibrated for average vehicle performance. Road geometries create predictable bottlenecks for average vehicles that the RS6 passes through before those bottlenecks can be activated. The criminal who chooses the RS6 is the most sophisticated reader of the built environment produced by the combustion era's measurement standards — and the project that studies this is, directly, a continuation of the Foundation's broader research into what cities were built for and who benefits.</w:t>
      </w:r>
    </w:p>
    <w:p>
      <w:pPr>
        <w:spacing w:before="0" w:after="320"/>
      </w:pPr>
    </w:p>
    <w:p>
      <w:pPr>
        <w:spacing w:before="480" w:after="160"/>
      </w:pPr>
      <w:r>
        <w:rPr>
          <w:rFonts w:ascii="Garamond" w:cs="Garamond" w:eastAsia="Garamond" w:hAnsi="Garamond"/>
          <w:color w:val="111009"/>
          <w:sz w:val="52"/>
          <w:szCs w:val="52"/>
        </w:rPr>
        <w:t xml:space="preserve">4.  The Research Enterprise</w:t>
      </w:r>
    </w:p>
    <w:p>
      <w:pPr>
        <w:pBdr>
          <w:bottom w:val="single" w:color="D8D0C8" w:sz="2" w:space="1"/>
        </w:pBdr>
        <w:spacing w:before="240" w:after="240"/>
      </w:pPr>
    </w:p>
    <w:p>
      <w:pPr>
        <w:spacing w:before="0" w:after="160" w:line="360" w:lineRule="auto"/>
      </w:pPr>
      <w:r>
        <w:rPr>
          <w:rFonts w:ascii="Garamond" w:cs="Garamond" w:eastAsia="Garamond" w:hAnsi="Garamond"/>
          <w:b w:val="false"/>
          <w:bCs w:val="false"/>
          <w:i w:val="false"/>
          <w:iCs w:val="false"/>
          <w:color w:val="3A3832"/>
          <w:sz w:val="24"/>
          <w:szCs w:val="24"/>
        </w:rPr>
        <w:t xml:space="preserve">The research is conducted through four primary methodological channels, each generating evidence that the others cannot produce alone.</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4680"/>
      </w:tblGrid>
      <w:tr>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METHOD</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PRIMARY SOURCE</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RESEARCH OUTPUT</w:t>
            </w:r>
          </w:p>
        </w:tc>
      </w:tr>
      <w:tr>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0"/>
                <w:szCs w:val="20"/>
              </w:rPr>
              <w:t xml:space="preserve">Classical Textual Analysis</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Vegetius, Xenophon, Roman legal texts, cursus publicus administrative records</w:t>
            </w:r>
          </w:p>
        </w:tc>
        <w:tc>
          <w:tcPr>
            <w:tcW w:type="dxa" w:w="468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A taxonomy of ancient vehicle selection criteria and flight jurisprudence, directly comparable to contemporary operational practice</w:t>
            </w:r>
          </w:p>
        </w:tc>
      </w:tr>
      <w:tr>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0"/>
                <w:szCs w:val="20"/>
              </w:rPr>
              <w:t xml:space="preserve">Urban Forensic Analysis</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Documented RS6 getaway routes; road design specifications; police pursuit data</w:t>
            </w:r>
          </w:p>
        </w:tc>
        <w:tc>
          <w:tcPr>
            <w:tcW w:type="dxa" w:w="468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A spatial analysis of how contemporary road infrastructure was built to be exploited by exactly this vehicle performance profile</w:t>
            </w:r>
          </w:p>
        </w:tc>
      </w:tr>
      <w:tr>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0"/>
                <w:szCs w:val="20"/>
              </w:rPr>
              <w:t xml:space="preserve">Comparative Vehicle Analysis</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RS6 technical specifications; cursus publicus horse and vehicle records; Roman cavalry formation data</w:t>
            </w:r>
          </w:p>
        </w:tc>
        <w:tc>
          <w:tcPr>
            <w:tcW w:type="dxa" w:w="468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A demonstration that the operational selection criteria for the fastest vehicle that looks ordinary have not changed in two thousand years</w:t>
            </w:r>
          </w:p>
        </w:tc>
      </w:tr>
      <w:tr>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bCs/>
                <w:i w:val="false"/>
                <w:iCs w:val="false"/>
                <w:color w:val="3A3832"/>
                <w:sz w:val="20"/>
                <w:szCs w:val="20"/>
              </w:rPr>
              <w:t xml:space="preserve">Legal Genealogy</w:t>
            </w:r>
          </w:p>
        </w:tc>
        <w:tc>
          <w:tcPr>
            <w:tcW w:type="dxa" w:w="234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Roman fuga law; contemporary pursuit law; European Convention on Human Rights pursuit protocols</w:t>
            </w:r>
          </w:p>
        </w:tc>
        <w:tc>
          <w:tcPr>
            <w:tcW w:type="dxa" w:w="468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A direct lineage from Roman flight jurisprudence to the specific legal conditions that govern when a contemporary police force must terminate a pursuit</w:t>
            </w:r>
          </w:p>
        </w:tc>
      </w:tr>
    </w:tbl>
    <w:p>
      <w:pPr>
        <w:spacing w:before="0" w:after="320"/>
      </w:pPr>
    </w:p>
    <w:p>
      <w:pPr>
        <w:spacing w:before="480" w:after="160"/>
      </w:pPr>
      <w:r>
        <w:rPr>
          <w:rFonts w:ascii="Garamond" w:cs="Garamond" w:eastAsia="Garamond" w:hAnsi="Garamond"/>
          <w:color w:val="111009"/>
          <w:sz w:val="52"/>
          <w:szCs w:val="52"/>
        </w:rPr>
        <w:t xml:space="preserve">5.  Research Matrix</w:t>
      </w:r>
    </w:p>
    <w:p>
      <w:pPr>
        <w:pBdr>
          <w:bottom w:val="single" w:color="D8D0C8" w:sz="2" w:space="1"/>
        </w:pBdr>
        <w:spacing w:before="240" w:after="240"/>
      </w:pPr>
    </w:p>
    <w:p>
      <w:pPr>
        <w:spacing w:before="0" w:after="160" w:line="360" w:lineRule="auto"/>
      </w:pPr>
      <w:r>
        <w:rPr>
          <w:rFonts w:ascii="Garamond" w:cs="Garamond" w:eastAsia="Garamond" w:hAnsi="Garamond"/>
          <w:b w:val="false"/>
          <w:bCs w:val="false"/>
          <w:i w:val="false"/>
          <w:iCs w:val="false"/>
          <w:color w:val="3A3832"/>
          <w:sz w:val="24"/>
          <w:szCs w:val="24"/>
        </w:rPr>
        <w:t xml:space="preserve">The following matrix maps the project's investigative threads across the ancient record, the contemporary practice, and the forensic research question each pairing generates.</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ANCIENT EVIDENCE</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CONTEMPORARY PARALLEL</w:t>
            </w:r>
          </w:p>
        </w:tc>
        <w:tc>
          <w:tcPr>
            <w:tcW w:type="dxa" w:w="3120"/>
            <w:tcBorders>
              <w:top w:val="single" w:color="E0D8CC" w:sz="2"/>
              <w:left w:val="single" w:color="E0D8CC" w:sz="2"/>
              <w:bottom w:val="single" w:color="E0D8CC" w:sz="2"/>
              <w:right w:val="single" w:color="E0D8CC" w:sz="2"/>
            </w:tcBorders>
            <w:shd w:fill="F2EDE4"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8B1A1A"/>
                <w:sz w:val="16"/>
                <w:szCs w:val="16"/>
              </w:rPr>
              <w:t xml:space="preserve">FORENSIC RESEARCH QUESTION</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cursus publicus — maximum speed, sufficient load, minimum conspicuousness</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RS6 Avant — 621hp, estate car format, reads as ordinary to untrained eye</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Has the operational requirement for state and anti-state rapid transit ever produced a different answer?</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Roman fuga law — flight as specific legal condition with specific remedies</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Contemporary pursuit law — the decision to terminate pursuit as a legally bounded act</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What is the direct line of inheritance from Roman flight jurisprudence to the RS6 driver's tactical advantage?</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Cavalry replacing chariot — performance concealed inside a less predictable form</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RS6 replacing Ferrari — estate wagon concealing supercar performance</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Why does the substitution of conspicuous power for concealed power keep producing the same tactical choice?</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Xenophon's Anabasis — rear guard, column, dispersal; route selection for speed and cover</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Documented RS6 operations — pursuit obstruction vehicle, route splitting, vehicle switch</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Is the RS6 getaway a direct practical descendant of the tactical framework Xenophon documented?</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Roman roads built for military formations — civilian traffic an afterthought</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British urban roads built for average vehicle — RS6 operates beyond their design parameters</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Was the road always simultaneously the state's instrument of control and the fugitive's instrument of escape?</w:t>
            </w:r>
          </w:p>
        </w:tc>
      </w:tr>
      <w:tr>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Horsepower — a unit designed to sell steam engines, now determining road infrastructure</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iCs/>
                <w:color w:val="3A3832"/>
                <w:sz w:val="19"/>
                <w:szCs w:val="19"/>
              </w:rPr>
              <w:t xml:space="preserve">The RS6's 621hp rating — the city built for a lower number, the RS6 exploiting the gap</w:t>
            </w:r>
          </w:p>
        </w:tc>
        <w:tc>
          <w:tcPr>
            <w:tcW w:type="dxa" w:w="3120"/>
            <w:tcBorders>
              <w:top w:val="single" w:color="E0D8CC" w:sz="2"/>
              <w:left w:val="single" w:color="E0D8CC" w:sz="2"/>
              <w:bottom w:val="single" w:color="E0D8CC" w:sz="2"/>
              <w:right w:val="single" w:color="E0D8CC" w:sz="2"/>
            </w:tcBorders>
            <w:shd w:fill="FFFFFF" w:val="clear"/>
            <w:tcMar>
              <w:top w:type="dxa" w:w="100"/>
              <w:left w:type="dxa" w:w="160"/>
              <w:bottom w:type="dxa" w:w="100"/>
              <w:right w:type="dxa" w:w="160"/>
            </w:tcMar>
            <w:vAlign w:val="top"/>
          </w:tcPr>
          <w:p>
            <w:pPr>
              <w:spacing w:before="0" w:after="0" w:line="320" w:lineRule="auto"/>
            </w:pPr>
            <w:r>
              <w:rPr>
                <w:rFonts w:ascii="Garamond" w:cs="Garamond" w:eastAsia="Garamond" w:hAnsi="Garamond"/>
                <w:b w:val="false"/>
                <w:bCs w:val="false"/>
                <w:i w:val="false"/>
                <w:iCs w:val="false"/>
                <w:color w:val="3A3832"/>
                <w:sz w:val="19"/>
                <w:szCs w:val="19"/>
              </w:rPr>
              <w:t xml:space="preserve">Is the RS6 driver the most sophisticated contemporary reader of what the combustion era built, and for whom?</w:t>
            </w:r>
          </w:p>
        </w:tc>
      </w:tr>
    </w:tbl>
    <w:p>
      <w:pPr>
        <w:spacing w:before="0" w:after="320"/>
      </w:pPr>
    </w:p>
    <w:p>
      <w:pPr>
        <w:spacing w:before="480" w:after="160"/>
      </w:pPr>
      <w:r>
        <w:rPr>
          <w:rFonts w:ascii="Garamond" w:cs="Garamond" w:eastAsia="Garamond" w:hAnsi="Garamond"/>
          <w:color w:val="111009"/>
          <w:sz w:val="52"/>
          <w:szCs w:val="52"/>
        </w:rPr>
        <w:t xml:space="preserve">6.  Significance</w:t>
      </w:r>
    </w:p>
    <w:p>
      <w:pPr>
        <w:pBdr>
          <w:bottom w:val="single" w:color="D8D0C8" w:sz="2" w:space="1"/>
        </w:pBdr>
        <w:spacing w:before="240" w:after="240"/>
      </w:pPr>
    </w:p>
    <w:p>
      <w:pPr>
        <w:spacing w:before="0" w:after="160" w:line="360" w:lineRule="auto"/>
      </w:pPr>
      <w:r>
        <w:rPr>
          <w:rFonts w:ascii="Garamond" w:cs="Garamond" w:eastAsia="Garamond" w:hAnsi="Garamond"/>
          <w:b w:val="false"/>
          <w:bCs w:val="false"/>
          <w:i w:val="false"/>
          <w:iCs w:val="false"/>
          <w:color w:val="3A3832"/>
          <w:sz w:val="24"/>
          <w:szCs w:val="24"/>
        </w:rPr>
        <w:t xml:space="preserve">This project makes four original contributions.</w:t>
      </w:r>
    </w:p>
    <w:p>
      <w:pPr>
        <w:spacing w:before="0" w:after="160"/>
      </w:pP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First, it proposes for the first time that the contemporary criminal preference for high-performance estate vehicles is a subject of legitimate classical study — not as analogy or metaphor, but as a continuous and traceable tactical tradition whose ancient foundations are recoverable through standard classical methodology.</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Second, it extends the Foundation's broader research programme into measurement standards and the built environment: the RS6 succeeds because the city was built for a different performance envelope, and studying who built that envelope and why is the same question the Foundation is asking about horsepower, road design, and infrastructure investment.</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Third, it demonstrates that Roman legal and administrative texts — specifically the jurisprudence of fuga and the administrative records of the cursus publicus — contain directly applicable evidence for understanding contemporary vehicle pursuit law and operational vehicle selection, and that no classical scholar has yet made this connection.</w:t>
      </w:r>
    </w:p>
    <w:p>
      <w:pPr>
        <w:spacing w:before="0" w:after="100" w:line="340" w:lineRule="auto"/>
        <w:ind w:left="480" w:hanging="240"/>
      </w:pPr>
      <w:r>
        <w:rPr>
          <w:rFonts w:ascii="Garamond" w:cs="Garamond" w:eastAsia="Garamond" w:hAnsi="Garamond"/>
          <w:color w:val="8B1A1A"/>
          <w:sz w:val="22"/>
          <w:szCs w:val="22"/>
        </w:rPr>
        <w:t xml:space="preserve">— </w:t>
      </w:r>
      <w:r>
        <w:rPr>
          <w:rFonts w:ascii="Garamond" w:cs="Garamond" w:eastAsia="Garamond" w:hAnsi="Garamond"/>
          <w:i w:val="false"/>
          <w:iCs w:val="false"/>
          <w:color w:val="3A3832"/>
          <w:sz w:val="22"/>
          <w:szCs w:val="22"/>
        </w:rPr>
        <w:t xml:space="preserve">Fourth, it establishes a model for forensic architecture research that reads contemporary criminal behaviour not as a deviation from civilised norms but as a sophisticated and historically continuous form of spatial intelligence — one that the ancient world studied seriously, and that the modern academy has largely refused to.</w:t>
      </w:r>
    </w:p>
    <w:p>
      <w:pPr>
        <w:spacing w:before="0" w:after="320"/>
      </w:pPr>
    </w:p>
    <w:p>
      <w:pPr>
        <w:pBdr>
          <w:left w:val="single" w:color="8B1A1A" w:sz="18" w:space="12"/>
        </w:pBdr>
        <w:spacing w:before="320" w:after="320"/>
        <w:ind w:left="720" w:right="720"/>
      </w:pPr>
      <w:r>
        <w:rPr>
          <w:rFonts w:ascii="Garamond" w:cs="Garamond" w:eastAsia="Garamond" w:hAnsi="Garamond"/>
          <w:i/>
          <w:iCs/>
          <w:color w:val="3A3832"/>
          <w:sz w:val="28"/>
          <w:szCs w:val="28"/>
        </w:rPr>
        <w:t xml:space="preserve">The road was built for the state. The fugitive has always known the road better than the state. The classicist is the only person who can say why.</w:t>
      </w:r>
    </w:p>
    <w:p>
      <w:pPr>
        <w:spacing w:before="0" w:after="160"/>
      </w:pPr>
    </w:p>
    <w:p>
      <w:pPr>
        <w:pBdr>
          <w:bottom w:val="single" w:color="D8D0C8" w:sz="2" w:space="1"/>
        </w:pBdr>
        <w:spacing w:before="240" w:after="240"/>
      </w:pPr>
    </w:p>
    <w:p>
      <w:pPr>
        <w:spacing w:before="0" w:after="160"/>
      </w:pPr>
    </w:p>
    <w:p>
      <w:pPr>
        <w:spacing w:before="0" w:after="80"/>
      </w:pPr>
      <w:r>
        <w:rPr>
          <w:rFonts w:ascii="Courier New" w:cs="Courier New" w:eastAsia="Courier New" w:hAnsi="Courier New"/>
          <w:b w:val="false"/>
          <w:bCs w:val="false"/>
          <w:color w:val="B0A898"/>
          <w:sz w:val="15"/>
          <w:szCs w:val="15"/>
        </w:rPr>
        <w:t xml:space="preserve">Rajzyngier Foundation · Forensic Architecture Research Agency · Concept Document — Research Project 004</w:t>
      </w:r>
    </w:p>
    <w:p>
      <w:pPr>
        <w:spacing w:before="0" w:after="0"/>
      </w:pPr>
      <w:r>
        <w:rPr>
          <w:rFonts w:ascii="Courier New" w:cs="Courier New" w:eastAsia="Courier New" w:hAnsi="Courier New"/>
          <w:b w:val="false"/>
          <w:bCs w:val="false"/>
          <w:color w:val="B0A898"/>
          <w:sz w:val="15"/>
          <w:szCs w:val="15"/>
        </w:rPr>
        <w:t xml:space="preserve">This document is a living instrument and will be updated as the research develops.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D8CC" w:sz="2" w:space="6"/>
      </w:pBdr>
      <w:tabs>
        <w:tab w:val="right" w:pos="9026"/>
      </w:tabs>
      <w:spacing w:before="120" w:after="0"/>
    </w:pPr>
    <w:r>
      <w:rPr>
        <w:rFonts w:ascii="Courier New" w:cs="Courier New" w:eastAsia="Courier New" w:hAnsi="Courier New"/>
        <w:b w:val="false"/>
        <w:bCs w:val="false"/>
        <w:color w:val="C0B8B0"/>
        <w:sz w:val="14"/>
        <w:szCs w:val="14"/>
      </w:rPr>
      <w:t xml:space="preserve">THE PURSUIT  ·  RAJZYNGIER FOUNDATION</w:t>
    </w:r>
    <w:r>
      <w:rPr>
        <w:rFonts w:ascii="Courier New" w:cs="Courier New" w:eastAsia="Courier New" w:hAnsi="Courier New"/>
        <w:sz w:val="14"/>
        <w:szCs w:val="14"/>
      </w:rPr>
      <w:t xml:space="preserve">	</w:t>
    </w:r>
    <w:r>
      <w:rPr>
        <w:rFonts w:ascii="Courier New" w:cs="Courier New" w:eastAsia="Courier New" w:hAnsi="Courier New"/>
        <w:b w:val="false"/>
        <w:bCs w:val="false"/>
        <w:color w:val="C0B8B0"/>
        <w:sz w:val="14"/>
        <w:szCs w:val="14"/>
      </w:rPr>
      <w:t xml:space="preserv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D8CC" w:sz="2" w:space="6"/>
      </w:pBdr>
      <w:spacing w:before="0" w:after="160"/>
    </w:pPr>
    <w:r>
      <w:rPr>
        <w:rFonts w:ascii="Courier New" w:cs="Courier New" w:eastAsia="Courier New" w:hAnsi="Courier New"/>
        <w:b w:val="false"/>
        <w:bCs w:val="false"/>
        <w:color w:val="C0B8B0"/>
        <w:sz w:val="14"/>
        <w:szCs w:val="14"/>
      </w:rPr>
      <w:t xml:space="preserve">RAJZYNGIER FOUNDATION  ·  RESEARCH PROJECT 004  ·  CONCEPT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2026-03-18T11:44:13.537Z</dcterms:created>
  <dcterms:modified xsi:type="dcterms:W3CDTF">2026-03-18T11:44:13.538Z</dcterms:modified>
</cp:coreProperties>
</file>

<file path=docProps/custom.xml><?xml version="1.0" encoding="utf-8"?>
<Properties xmlns="http://schemas.openxmlformats.org/officeDocument/2006/custom-properties" xmlns:vt="http://schemas.openxmlformats.org/officeDocument/2006/docPropsVTypes"/>
</file>